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91A" w:rsidRDefault="00EE7360" w:rsidP="0007736E">
      <w:pPr>
        <w:jc w:val="center"/>
        <w:rPr>
          <w:b/>
          <w:u w:val="single"/>
        </w:rPr>
      </w:pPr>
      <w:r w:rsidRPr="006E54F5">
        <w:rPr>
          <w:noProof/>
          <w:lang w:eastAsia="de-DE"/>
        </w:rPr>
        <w:drawing>
          <wp:inline distT="0" distB="0" distL="0" distR="0">
            <wp:extent cx="1179723" cy="950026"/>
            <wp:effectExtent l="19050" t="0" r="1377" b="0"/>
            <wp:docPr id="1" name="Bild 1" descr="X:\FINE\FINE\3. Symposien\1. Allgemeine Dateien\Logos\FINE-Logo_neu_gro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FINE\FINE\3. Symposien\1. Allgemeine Dateien\Logos\FINE-Logo_neu_groß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041" cy="9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02C" w:rsidRPr="00AF3A6A" w:rsidRDefault="0023102C" w:rsidP="0023102C">
      <w:pPr>
        <w:jc w:val="center"/>
        <w:rPr>
          <w:b/>
          <w:sz w:val="32"/>
          <w:szCs w:val="32"/>
          <w:u w:val="single"/>
        </w:rPr>
      </w:pPr>
      <w:r w:rsidRPr="00AF3A6A">
        <w:rPr>
          <w:b/>
          <w:sz w:val="32"/>
          <w:szCs w:val="32"/>
          <w:u w:val="single"/>
        </w:rPr>
        <w:t>Expertenrat</w:t>
      </w:r>
    </w:p>
    <w:p w:rsidR="0023102C" w:rsidRDefault="0023102C" w:rsidP="005D191A">
      <w:pPr>
        <w:spacing w:line="360" w:lineRule="auto"/>
        <w:jc w:val="both"/>
      </w:pPr>
      <w:r>
        <w:t>Die Forschungs-</w:t>
      </w:r>
      <w:r w:rsidR="0006580C">
        <w:t xml:space="preserve">Initiative NRW in Europa (FINE) organisiert für </w:t>
      </w:r>
      <w:r w:rsidR="00B529BE">
        <w:t>den Minister</w:t>
      </w:r>
      <w:r w:rsidR="0006580C">
        <w:t xml:space="preserve"> </w:t>
      </w:r>
      <w:r>
        <w:t>für Bundesangelegenheiten, Europa und Medien des Landes Nordrhein-Westfalen</w:t>
      </w:r>
      <w:r w:rsidR="00B529BE">
        <w:t xml:space="preserve"> und Chef der Staatskanzlei, Franz-Josef Lersch-Mense</w:t>
      </w:r>
      <w:r>
        <w:t>, einen Experten</w:t>
      </w:r>
      <w:r w:rsidR="00B529BE">
        <w:t>rat</w:t>
      </w:r>
      <w:r>
        <w:t xml:space="preserve"> </w:t>
      </w:r>
      <w:r w:rsidR="00B529BE">
        <w:t>zu europapolitischen Fragestellungen</w:t>
      </w:r>
      <w:r>
        <w:t xml:space="preserve">. Diskutiert wurde </w:t>
      </w:r>
      <w:r w:rsidR="0006580C">
        <w:t>in den bisher</w:t>
      </w:r>
      <w:r w:rsidR="009B63D3">
        <w:t>igen</w:t>
      </w:r>
      <w:r w:rsidR="0006580C">
        <w:t xml:space="preserve"> Treffen </w:t>
      </w:r>
      <w:r>
        <w:t>über folgende Themen: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077"/>
        <w:gridCol w:w="5877"/>
      </w:tblGrid>
      <w:tr w:rsidR="0023102C" w:rsidTr="00C763BF">
        <w:trPr>
          <w:trHeight w:val="424"/>
        </w:trPr>
        <w:tc>
          <w:tcPr>
            <w:tcW w:w="3119" w:type="dxa"/>
            <w:vAlign w:val="center"/>
          </w:tcPr>
          <w:p w:rsidR="0023102C" w:rsidRPr="0023102C" w:rsidRDefault="0023102C" w:rsidP="005D191A">
            <w:pPr>
              <w:ind w:left="284" w:firstLine="142"/>
              <w:rPr>
                <w:b/>
              </w:rPr>
            </w:pPr>
            <w:r w:rsidRPr="0023102C">
              <w:rPr>
                <w:b/>
              </w:rPr>
              <w:t>Datum des Workshops</w:t>
            </w:r>
          </w:p>
        </w:tc>
        <w:tc>
          <w:tcPr>
            <w:tcW w:w="5985" w:type="dxa"/>
            <w:vAlign w:val="center"/>
          </w:tcPr>
          <w:p w:rsidR="0023102C" w:rsidRPr="0023102C" w:rsidRDefault="0023102C" w:rsidP="0023102C">
            <w:pPr>
              <w:jc w:val="center"/>
              <w:rPr>
                <w:b/>
              </w:rPr>
            </w:pPr>
            <w:r w:rsidRPr="0023102C">
              <w:rPr>
                <w:b/>
              </w:rPr>
              <w:t>Diskutierte Themen</w:t>
            </w:r>
          </w:p>
        </w:tc>
      </w:tr>
      <w:tr w:rsidR="0023102C" w:rsidTr="00C763BF">
        <w:trPr>
          <w:trHeight w:val="806"/>
        </w:trPr>
        <w:tc>
          <w:tcPr>
            <w:tcW w:w="3119" w:type="dxa"/>
            <w:vAlign w:val="center"/>
          </w:tcPr>
          <w:p w:rsidR="0023102C" w:rsidRDefault="008E7847" w:rsidP="005D191A">
            <w:pPr>
              <w:pStyle w:val="Listenabsatz"/>
              <w:numPr>
                <w:ilvl w:val="0"/>
                <w:numId w:val="2"/>
              </w:numPr>
              <w:spacing w:line="276" w:lineRule="auto"/>
              <w:ind w:left="284" w:firstLine="142"/>
            </w:pPr>
            <w:r>
              <w:t xml:space="preserve"> </w:t>
            </w:r>
            <w:r w:rsidR="0023102C">
              <w:t>Dezember 2011</w:t>
            </w:r>
          </w:p>
        </w:tc>
        <w:tc>
          <w:tcPr>
            <w:tcW w:w="5985" w:type="dxa"/>
          </w:tcPr>
          <w:p w:rsidR="0023102C" w:rsidRDefault="005D191A" w:rsidP="005D191A">
            <w:pPr>
              <w:spacing w:before="120" w:after="120" w:line="276" w:lineRule="auto"/>
              <w:jc w:val="both"/>
            </w:pPr>
            <w:r>
              <w:t>„</w:t>
            </w:r>
            <w:r w:rsidRPr="005D191A">
              <w:t xml:space="preserve">Die Rückwirkungen der Krise der </w:t>
            </w:r>
            <w:r>
              <w:t xml:space="preserve">WWU </w:t>
            </w:r>
            <w:r w:rsidRPr="005D191A">
              <w:t>auf die Weiterentwicklung des Institutionengefüges der Europäischen Union und den Prozess der europäischen Integration</w:t>
            </w:r>
            <w:r>
              <w:t>“ sowie „</w:t>
            </w:r>
            <w:r w:rsidRPr="005D191A">
              <w:t>Die finanzpolitische Souveränität der nationalen Ebene in einer reformierten Wirtschafts- und Währungsunion</w:t>
            </w:r>
            <w:r>
              <w:t>“</w:t>
            </w:r>
          </w:p>
        </w:tc>
      </w:tr>
      <w:tr w:rsidR="0023102C" w:rsidTr="00C763BF">
        <w:trPr>
          <w:trHeight w:val="806"/>
        </w:trPr>
        <w:tc>
          <w:tcPr>
            <w:tcW w:w="3119" w:type="dxa"/>
            <w:vAlign w:val="center"/>
          </w:tcPr>
          <w:p w:rsidR="0023102C" w:rsidRDefault="0023102C" w:rsidP="005D191A">
            <w:pPr>
              <w:spacing w:line="276" w:lineRule="auto"/>
              <w:ind w:left="284" w:firstLine="142"/>
            </w:pPr>
            <w:r>
              <w:t>15. März 2012</w:t>
            </w:r>
          </w:p>
        </w:tc>
        <w:tc>
          <w:tcPr>
            <w:tcW w:w="5985" w:type="dxa"/>
          </w:tcPr>
          <w:p w:rsidR="0023102C" w:rsidRDefault="005D191A" w:rsidP="005D191A">
            <w:pPr>
              <w:spacing w:before="120" w:after="120" w:line="276" w:lineRule="auto"/>
              <w:jc w:val="both"/>
            </w:pPr>
            <w:r>
              <w:t>„</w:t>
            </w:r>
            <w:r w:rsidR="0023102C">
              <w:t>Akteure im europäischen Krisenmanagement</w:t>
            </w:r>
            <w:r>
              <w:t>“ sowie</w:t>
            </w:r>
            <w:r w:rsidR="0023102C">
              <w:t xml:space="preserve"> </w:t>
            </w:r>
            <w:r>
              <w:t>„N</w:t>
            </w:r>
            <w:r w:rsidR="0023102C">
              <w:t>achhaltige Wege aus der Krise der WWU"</w:t>
            </w:r>
          </w:p>
        </w:tc>
      </w:tr>
      <w:tr w:rsidR="0023102C" w:rsidTr="00C763BF">
        <w:trPr>
          <w:trHeight w:val="806"/>
        </w:trPr>
        <w:tc>
          <w:tcPr>
            <w:tcW w:w="3119" w:type="dxa"/>
            <w:vAlign w:val="center"/>
          </w:tcPr>
          <w:p w:rsidR="0023102C" w:rsidRDefault="0023102C" w:rsidP="005D191A">
            <w:pPr>
              <w:spacing w:line="276" w:lineRule="auto"/>
              <w:ind w:left="284" w:firstLine="142"/>
            </w:pPr>
            <w:r>
              <w:t>28. Juni 2012</w:t>
            </w:r>
          </w:p>
        </w:tc>
        <w:tc>
          <w:tcPr>
            <w:tcW w:w="5985" w:type="dxa"/>
          </w:tcPr>
          <w:p w:rsidR="0023102C" w:rsidRDefault="005D191A" w:rsidP="005D191A">
            <w:pPr>
              <w:spacing w:before="120" w:after="120" w:line="276" w:lineRule="auto"/>
              <w:jc w:val="both"/>
            </w:pPr>
            <w:r>
              <w:t>„</w:t>
            </w:r>
            <w:r w:rsidR="0023102C">
              <w:t>Europa nach den Wahlen in Griechenland und Frankreich" sowie „Wachstumsstrategie für Europa“</w:t>
            </w:r>
          </w:p>
        </w:tc>
      </w:tr>
      <w:tr w:rsidR="0023102C" w:rsidTr="00C763BF">
        <w:trPr>
          <w:trHeight w:val="806"/>
        </w:trPr>
        <w:tc>
          <w:tcPr>
            <w:tcW w:w="3119" w:type="dxa"/>
            <w:vAlign w:val="center"/>
          </w:tcPr>
          <w:p w:rsidR="0023102C" w:rsidRDefault="0023102C" w:rsidP="005D191A">
            <w:pPr>
              <w:spacing w:line="276" w:lineRule="auto"/>
              <w:ind w:left="284" w:firstLine="142"/>
            </w:pPr>
            <w:r>
              <w:t>29. November 2012</w:t>
            </w:r>
          </w:p>
        </w:tc>
        <w:tc>
          <w:tcPr>
            <w:tcW w:w="5985" w:type="dxa"/>
          </w:tcPr>
          <w:p w:rsidR="0023102C" w:rsidRDefault="005D191A" w:rsidP="005D191A">
            <w:pPr>
              <w:spacing w:before="120" w:after="120" w:line="276" w:lineRule="auto"/>
              <w:jc w:val="both"/>
            </w:pPr>
            <w:r>
              <w:t>„</w:t>
            </w:r>
            <w:r w:rsidR="0023102C">
              <w:t>Politische Union und Demokratisierung de</w:t>
            </w:r>
            <w:r>
              <w:t>r EU" sowie „</w:t>
            </w:r>
            <w:r w:rsidR="0023102C">
              <w:t>Politische Union und Sozialunion"</w:t>
            </w:r>
          </w:p>
        </w:tc>
      </w:tr>
      <w:tr w:rsidR="0006580C" w:rsidTr="00C82803">
        <w:trPr>
          <w:trHeight w:val="806"/>
        </w:trPr>
        <w:tc>
          <w:tcPr>
            <w:tcW w:w="3119" w:type="dxa"/>
            <w:vAlign w:val="center"/>
          </w:tcPr>
          <w:p w:rsidR="0006580C" w:rsidRDefault="0006580C" w:rsidP="00C82803">
            <w:pPr>
              <w:spacing w:line="276" w:lineRule="auto"/>
              <w:ind w:left="284" w:firstLine="142"/>
            </w:pPr>
            <w:r>
              <w:t>14. März 2013</w:t>
            </w:r>
          </w:p>
        </w:tc>
        <w:tc>
          <w:tcPr>
            <w:tcW w:w="5985" w:type="dxa"/>
          </w:tcPr>
          <w:p w:rsidR="0006580C" w:rsidRDefault="0006580C" w:rsidP="00C82803">
            <w:pPr>
              <w:spacing w:before="120" w:after="120" w:line="276" w:lineRule="auto"/>
              <w:jc w:val="both"/>
            </w:pPr>
            <w:r>
              <w:t>„Politische Union" sowie „Lohnkonkurrenz und europäische Tarifverträge"</w:t>
            </w:r>
          </w:p>
        </w:tc>
      </w:tr>
      <w:tr w:rsidR="00ED2325" w:rsidTr="005B06E4">
        <w:trPr>
          <w:trHeight w:val="806"/>
        </w:trPr>
        <w:tc>
          <w:tcPr>
            <w:tcW w:w="3119" w:type="dxa"/>
            <w:vAlign w:val="center"/>
          </w:tcPr>
          <w:p w:rsidR="00ED2325" w:rsidRDefault="00ED2325" w:rsidP="005B06E4">
            <w:pPr>
              <w:spacing w:line="276" w:lineRule="auto"/>
              <w:ind w:left="284" w:firstLine="142"/>
            </w:pPr>
            <w:r>
              <w:t>20. Juni 2013</w:t>
            </w:r>
          </w:p>
        </w:tc>
        <w:tc>
          <w:tcPr>
            <w:tcW w:w="5985" w:type="dxa"/>
          </w:tcPr>
          <w:p w:rsidR="00ED2325" w:rsidRDefault="00ED2325" w:rsidP="005B06E4">
            <w:pPr>
              <w:spacing w:before="120" w:after="120" w:line="276" w:lineRule="auto"/>
              <w:jc w:val="both"/>
            </w:pPr>
            <w:r>
              <w:t>„Ein sozial orientiertes Europarecht" sowie „Ein sozial orientierter Binnenmarkt"</w:t>
            </w:r>
          </w:p>
        </w:tc>
      </w:tr>
      <w:tr w:rsidR="00567AFC" w:rsidTr="00F57301">
        <w:trPr>
          <w:trHeight w:val="806"/>
        </w:trPr>
        <w:tc>
          <w:tcPr>
            <w:tcW w:w="3119" w:type="dxa"/>
            <w:vAlign w:val="center"/>
          </w:tcPr>
          <w:p w:rsidR="00567AFC" w:rsidRDefault="00567AFC" w:rsidP="00F57301">
            <w:pPr>
              <w:spacing w:line="276" w:lineRule="auto"/>
              <w:ind w:left="284" w:firstLine="142"/>
            </w:pPr>
            <w:r>
              <w:t>17. Oktober 2013</w:t>
            </w:r>
          </w:p>
        </w:tc>
        <w:tc>
          <w:tcPr>
            <w:tcW w:w="5985" w:type="dxa"/>
          </w:tcPr>
          <w:p w:rsidR="00567AFC" w:rsidRDefault="00567AFC" w:rsidP="00F57301">
            <w:pPr>
              <w:spacing w:before="120" w:after="120" w:line="276" w:lineRule="auto"/>
              <w:jc w:val="both"/>
            </w:pPr>
            <w:r>
              <w:t>„Jugendarbeitslosigkeit in Europa und die Rolle der EU" sowie „Die Transatlantische Handels- und Investmentpartnerschaft zwischen der EU und den USA (TTIP)"</w:t>
            </w:r>
          </w:p>
        </w:tc>
      </w:tr>
      <w:tr w:rsidR="0023102C" w:rsidTr="00FF65F2">
        <w:trPr>
          <w:trHeight w:val="806"/>
        </w:trPr>
        <w:tc>
          <w:tcPr>
            <w:tcW w:w="3119" w:type="dxa"/>
            <w:vAlign w:val="center"/>
          </w:tcPr>
          <w:p w:rsidR="0023102C" w:rsidRDefault="00FF65F2" w:rsidP="00FF65F2">
            <w:pPr>
              <w:spacing w:line="276" w:lineRule="auto"/>
              <w:ind w:left="284" w:firstLine="142"/>
            </w:pPr>
            <w:r>
              <w:t>30. Januar 2014</w:t>
            </w:r>
          </w:p>
        </w:tc>
        <w:tc>
          <w:tcPr>
            <w:tcW w:w="5985" w:type="dxa"/>
            <w:vAlign w:val="center"/>
          </w:tcPr>
          <w:p w:rsidR="0023102C" w:rsidRDefault="00FF65F2" w:rsidP="00FF65F2">
            <w:pPr>
              <w:spacing w:before="120" w:after="120" w:line="276" w:lineRule="auto"/>
            </w:pPr>
            <w:r>
              <w:t>„</w:t>
            </w:r>
            <w:r w:rsidRPr="00FF65F2">
              <w:t>Umsetzung und Auswirkungen der Europäischen Bankenunion</w:t>
            </w:r>
            <w:r>
              <w:t>“</w:t>
            </w:r>
          </w:p>
        </w:tc>
      </w:tr>
      <w:tr w:rsidR="003A00CE" w:rsidTr="00FF65F2">
        <w:trPr>
          <w:trHeight w:val="806"/>
        </w:trPr>
        <w:tc>
          <w:tcPr>
            <w:tcW w:w="3119" w:type="dxa"/>
            <w:vAlign w:val="center"/>
          </w:tcPr>
          <w:p w:rsidR="003A00CE" w:rsidRDefault="003A00CE" w:rsidP="00FF65F2">
            <w:pPr>
              <w:ind w:left="284" w:firstLine="142"/>
            </w:pPr>
            <w:r>
              <w:t>27. Mai 2014</w:t>
            </w:r>
          </w:p>
        </w:tc>
        <w:tc>
          <w:tcPr>
            <w:tcW w:w="5985" w:type="dxa"/>
            <w:vAlign w:val="center"/>
          </w:tcPr>
          <w:p w:rsidR="003A00CE" w:rsidRDefault="003A00CE" w:rsidP="00FF65F2">
            <w:pPr>
              <w:spacing w:before="120" w:after="120"/>
            </w:pPr>
            <w:r>
              <w:t>„Erste Analysen der Europawahlen 2014“</w:t>
            </w:r>
          </w:p>
        </w:tc>
      </w:tr>
      <w:tr w:rsidR="003A00CE" w:rsidTr="00FF65F2">
        <w:trPr>
          <w:trHeight w:val="806"/>
        </w:trPr>
        <w:tc>
          <w:tcPr>
            <w:tcW w:w="3119" w:type="dxa"/>
            <w:vAlign w:val="center"/>
          </w:tcPr>
          <w:p w:rsidR="003A00CE" w:rsidRDefault="003A00CE" w:rsidP="00FF65F2">
            <w:pPr>
              <w:ind w:left="284" w:firstLine="142"/>
            </w:pPr>
            <w:r>
              <w:lastRenderedPageBreak/>
              <w:t>11. September 2014</w:t>
            </w:r>
          </w:p>
        </w:tc>
        <w:tc>
          <w:tcPr>
            <w:tcW w:w="5985" w:type="dxa"/>
            <w:vAlign w:val="center"/>
          </w:tcPr>
          <w:p w:rsidR="003A00CE" w:rsidRDefault="003A00CE" w:rsidP="00FF65F2">
            <w:pPr>
              <w:spacing w:before="120" w:after="120"/>
            </w:pPr>
            <w:r>
              <w:t>„Europäisches Wahlrecht“</w:t>
            </w:r>
          </w:p>
        </w:tc>
      </w:tr>
      <w:tr w:rsidR="00A90FFB" w:rsidTr="00FF65F2">
        <w:trPr>
          <w:trHeight w:val="806"/>
        </w:trPr>
        <w:tc>
          <w:tcPr>
            <w:tcW w:w="3119" w:type="dxa"/>
            <w:vAlign w:val="center"/>
          </w:tcPr>
          <w:p w:rsidR="00A90FFB" w:rsidRDefault="00A90FFB" w:rsidP="00A90FFB">
            <w:pPr>
              <w:ind w:left="284" w:firstLine="142"/>
            </w:pPr>
            <w:r>
              <w:t>26. Februar 2015</w:t>
            </w:r>
          </w:p>
        </w:tc>
        <w:tc>
          <w:tcPr>
            <w:tcW w:w="5985" w:type="dxa"/>
            <w:vAlign w:val="center"/>
          </w:tcPr>
          <w:p w:rsidR="00A90FFB" w:rsidRDefault="00A90FFB" w:rsidP="00A90FFB">
            <w:pPr>
              <w:spacing w:before="120" w:after="120"/>
            </w:pPr>
            <w:r>
              <w:t>„Europäische Asyl- und Migrationspolitik“</w:t>
            </w:r>
          </w:p>
        </w:tc>
      </w:tr>
      <w:tr w:rsidR="00A90FFB" w:rsidTr="00FF65F2">
        <w:trPr>
          <w:trHeight w:val="806"/>
        </w:trPr>
        <w:tc>
          <w:tcPr>
            <w:tcW w:w="3119" w:type="dxa"/>
            <w:vAlign w:val="center"/>
          </w:tcPr>
          <w:p w:rsidR="00A90FFB" w:rsidRDefault="00A90FFB" w:rsidP="00A90FFB">
            <w:pPr>
              <w:ind w:left="284" w:firstLine="142"/>
            </w:pPr>
            <w:r>
              <w:t>23. Juni 2015</w:t>
            </w:r>
          </w:p>
        </w:tc>
        <w:tc>
          <w:tcPr>
            <w:tcW w:w="5985" w:type="dxa"/>
            <w:vAlign w:val="center"/>
          </w:tcPr>
          <w:p w:rsidR="00A90FFB" w:rsidRDefault="00A90FFB" w:rsidP="00A90FFB">
            <w:pPr>
              <w:spacing w:before="120" w:after="120"/>
            </w:pPr>
            <w:r>
              <w:t>„Die neue Europäische Kommission –</w:t>
            </w:r>
          </w:p>
          <w:p w:rsidR="00A90FFB" w:rsidRDefault="00A90FFB" w:rsidP="00A90FFB">
            <w:pPr>
              <w:spacing w:before="120" w:after="120"/>
            </w:pPr>
            <w:r>
              <w:t>Arbeitsweise und Ansätze für die Interessenvertretung der</w:t>
            </w:r>
          </w:p>
          <w:p w:rsidR="00A90FFB" w:rsidRDefault="00A90FFB" w:rsidP="00A90FFB">
            <w:pPr>
              <w:spacing w:before="120" w:after="120"/>
            </w:pPr>
            <w:r>
              <w:t>Bundesländer“</w:t>
            </w:r>
          </w:p>
        </w:tc>
      </w:tr>
      <w:tr w:rsidR="00A90FFB" w:rsidTr="00FF65F2">
        <w:trPr>
          <w:trHeight w:val="806"/>
        </w:trPr>
        <w:tc>
          <w:tcPr>
            <w:tcW w:w="3119" w:type="dxa"/>
            <w:vAlign w:val="center"/>
          </w:tcPr>
          <w:p w:rsidR="00A90FFB" w:rsidRDefault="00A90FFB" w:rsidP="00A90FFB">
            <w:pPr>
              <w:pStyle w:val="Listenabsatz"/>
              <w:numPr>
                <w:ilvl w:val="0"/>
                <w:numId w:val="3"/>
              </w:numPr>
            </w:pPr>
            <w:r>
              <w:t>Oktober 2</w:t>
            </w:r>
            <w:r w:rsidR="000F1392">
              <w:t>0</w:t>
            </w:r>
            <w:r>
              <w:t>15</w:t>
            </w:r>
          </w:p>
        </w:tc>
        <w:tc>
          <w:tcPr>
            <w:tcW w:w="5985" w:type="dxa"/>
            <w:vAlign w:val="center"/>
          </w:tcPr>
          <w:p w:rsidR="00A90FFB" w:rsidRDefault="00A90FFB" w:rsidP="00A90FFB">
            <w:pPr>
              <w:spacing w:before="120" w:after="120"/>
            </w:pPr>
            <w:r w:rsidRPr="00A90FFB">
              <w:t>„Die Agenda ‚bessere Rechtsetzung’ sowie das REFIT-Programm und die Arbeits- und Sozialrechte“</w:t>
            </w:r>
          </w:p>
        </w:tc>
      </w:tr>
      <w:tr w:rsidR="004A2D2B" w:rsidTr="00FF65F2">
        <w:trPr>
          <w:trHeight w:val="806"/>
        </w:trPr>
        <w:tc>
          <w:tcPr>
            <w:tcW w:w="3119" w:type="dxa"/>
            <w:vAlign w:val="center"/>
          </w:tcPr>
          <w:p w:rsidR="004A2D2B" w:rsidRDefault="004A2D2B" w:rsidP="004A2D2B">
            <w:pPr>
              <w:ind w:left="284" w:firstLine="142"/>
            </w:pPr>
            <w:r>
              <w:t>11. Februar 2016</w:t>
            </w:r>
          </w:p>
        </w:tc>
        <w:tc>
          <w:tcPr>
            <w:tcW w:w="5985" w:type="dxa"/>
            <w:vAlign w:val="center"/>
          </w:tcPr>
          <w:p w:rsidR="004A2D2B" w:rsidRPr="00A90FFB" w:rsidRDefault="004A2D2B" w:rsidP="004A2D2B">
            <w:pPr>
              <w:spacing w:before="120" w:after="120"/>
            </w:pPr>
            <w:r>
              <w:t>„Die europäische Energieunion – Bestandsaufnahme und Handlungsstrategien“</w:t>
            </w:r>
          </w:p>
        </w:tc>
      </w:tr>
      <w:tr w:rsidR="00A555EA" w:rsidTr="00FF65F2">
        <w:trPr>
          <w:trHeight w:val="806"/>
        </w:trPr>
        <w:tc>
          <w:tcPr>
            <w:tcW w:w="3119" w:type="dxa"/>
            <w:vAlign w:val="center"/>
          </w:tcPr>
          <w:p w:rsidR="00A555EA" w:rsidRDefault="00A555EA" w:rsidP="004A2D2B">
            <w:pPr>
              <w:ind w:left="284" w:firstLine="142"/>
            </w:pPr>
            <w:r>
              <w:t>7. November 2016</w:t>
            </w:r>
          </w:p>
        </w:tc>
        <w:tc>
          <w:tcPr>
            <w:tcW w:w="5985" w:type="dxa"/>
            <w:vAlign w:val="center"/>
          </w:tcPr>
          <w:p w:rsidR="00A555EA" w:rsidRPr="00A555EA" w:rsidRDefault="00A555EA" w:rsidP="00A555EA">
            <w:pPr>
              <w:spacing w:before="120" w:after="120"/>
            </w:pPr>
            <w:r>
              <w:t>„</w:t>
            </w:r>
            <w:r w:rsidRPr="00A555EA">
              <w:t xml:space="preserve">BREXIT – </w:t>
            </w:r>
            <w:r>
              <w:t xml:space="preserve"> </w:t>
            </w:r>
            <w:r w:rsidRPr="00A555EA">
              <w:t xml:space="preserve">Szenarien für die EU und NRW </w:t>
            </w:r>
          </w:p>
          <w:p w:rsidR="00A555EA" w:rsidRDefault="00A555EA" w:rsidP="00A555EA">
            <w:pPr>
              <w:spacing w:before="120" w:after="120"/>
            </w:pPr>
            <w:r w:rsidRPr="00A555EA">
              <w:t>nach der Abstimmung</w:t>
            </w:r>
            <w:r>
              <w:t>“</w:t>
            </w:r>
          </w:p>
        </w:tc>
      </w:tr>
      <w:tr w:rsidR="00A555EA" w:rsidTr="00FF65F2">
        <w:trPr>
          <w:trHeight w:val="806"/>
        </w:trPr>
        <w:tc>
          <w:tcPr>
            <w:tcW w:w="3119" w:type="dxa"/>
            <w:vAlign w:val="center"/>
          </w:tcPr>
          <w:p w:rsidR="00A555EA" w:rsidRDefault="00A555EA" w:rsidP="004A2D2B">
            <w:pPr>
              <w:ind w:left="284" w:firstLine="142"/>
            </w:pPr>
            <w:r>
              <w:t>14. November 2016</w:t>
            </w:r>
          </w:p>
        </w:tc>
        <w:tc>
          <w:tcPr>
            <w:tcW w:w="5985" w:type="dxa"/>
            <w:vAlign w:val="center"/>
          </w:tcPr>
          <w:p w:rsidR="00A555EA" w:rsidRDefault="00A555EA" w:rsidP="00A555EA">
            <w:pPr>
              <w:spacing w:before="120" w:after="120"/>
            </w:pPr>
            <w:r>
              <w:t>„Reform des Europäischen Emissionshandels (EU ETS)“ – öffentliche Fachveranstaltung in der Vertretung des Landes NRW in Brüssel</w:t>
            </w:r>
          </w:p>
        </w:tc>
      </w:tr>
      <w:tr w:rsidR="000F511D" w:rsidTr="00FF65F2">
        <w:trPr>
          <w:trHeight w:val="806"/>
        </w:trPr>
        <w:tc>
          <w:tcPr>
            <w:tcW w:w="3119" w:type="dxa"/>
            <w:vAlign w:val="center"/>
          </w:tcPr>
          <w:p w:rsidR="000F511D" w:rsidRDefault="000F511D" w:rsidP="004A2D2B">
            <w:pPr>
              <w:ind w:left="284" w:firstLine="142"/>
            </w:pPr>
            <w:r>
              <w:t>13. Februar 2017</w:t>
            </w:r>
          </w:p>
        </w:tc>
        <w:tc>
          <w:tcPr>
            <w:tcW w:w="5985" w:type="dxa"/>
            <w:vAlign w:val="center"/>
          </w:tcPr>
          <w:p w:rsidR="000F511D" w:rsidRDefault="002B5361" w:rsidP="00A555EA">
            <w:pPr>
              <w:spacing w:before="120" w:after="120"/>
            </w:pPr>
            <w:r>
              <w:t>„Rechtspopulismus in Europa“</w:t>
            </w:r>
          </w:p>
        </w:tc>
      </w:tr>
      <w:tr w:rsidR="002E09A0" w:rsidTr="00FF65F2">
        <w:trPr>
          <w:trHeight w:val="806"/>
        </w:trPr>
        <w:tc>
          <w:tcPr>
            <w:tcW w:w="3119" w:type="dxa"/>
            <w:vAlign w:val="center"/>
          </w:tcPr>
          <w:p w:rsidR="002E09A0" w:rsidRDefault="002E09A0" w:rsidP="004A2D2B">
            <w:pPr>
              <w:ind w:left="284" w:firstLine="142"/>
            </w:pPr>
            <w:r>
              <w:t>3. April 2017</w:t>
            </w:r>
          </w:p>
        </w:tc>
        <w:tc>
          <w:tcPr>
            <w:tcW w:w="5985" w:type="dxa"/>
            <w:vAlign w:val="center"/>
          </w:tcPr>
          <w:p w:rsidR="002E09A0" w:rsidRDefault="002E09A0" w:rsidP="00A555EA">
            <w:pPr>
              <w:spacing w:before="120" w:after="120"/>
            </w:pPr>
            <w:r>
              <w:t>„Maßnahmen gegen Steuerdumping in Europa“</w:t>
            </w:r>
            <w:bookmarkStart w:id="0" w:name="_GoBack"/>
            <w:bookmarkEnd w:id="0"/>
          </w:p>
        </w:tc>
      </w:tr>
    </w:tbl>
    <w:tbl>
      <w:tblPr>
        <w:tblStyle w:val="Tabellenraster"/>
        <w:tblpPr w:leftFromText="141" w:rightFromText="141" w:vertAnchor="text" w:horzAnchor="margin" w:tblpY="121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32"/>
      </w:tblGrid>
      <w:tr w:rsidR="00EE7360" w:rsidRPr="002E09A0" w:rsidTr="00EE7360">
        <w:tc>
          <w:tcPr>
            <w:tcW w:w="4606" w:type="dxa"/>
          </w:tcPr>
          <w:p w:rsidR="00EE7360" w:rsidRPr="005D191A" w:rsidRDefault="00EE7360" w:rsidP="00EE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808080" w:themeColor="background1" w:themeShade="80"/>
                <w:sz w:val="20"/>
                <w:szCs w:val="20"/>
                <w:lang w:eastAsia="de-DE"/>
              </w:rPr>
            </w:pPr>
            <w:r w:rsidRPr="005D191A">
              <w:rPr>
                <w:rFonts w:eastAsia="Times New Roman" w:cs="Arial"/>
                <w:color w:val="808080" w:themeColor="background1" w:themeShade="80"/>
                <w:sz w:val="20"/>
                <w:szCs w:val="20"/>
                <w:lang w:eastAsia="de-DE"/>
              </w:rPr>
              <w:lastRenderedPageBreak/>
              <w:t>Forschungs-Initiative NRW in Europa (FINE)</w:t>
            </w:r>
          </w:p>
          <w:p w:rsidR="00EE7360" w:rsidRPr="005D191A" w:rsidRDefault="00EE7360" w:rsidP="00EE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808080" w:themeColor="background1" w:themeShade="80"/>
                <w:sz w:val="20"/>
                <w:szCs w:val="20"/>
                <w:lang w:eastAsia="de-DE"/>
              </w:rPr>
            </w:pPr>
            <w:r w:rsidRPr="005D191A">
              <w:rPr>
                <w:rFonts w:eastAsia="Times New Roman" w:cs="Arial"/>
                <w:color w:val="808080" w:themeColor="background1" w:themeShade="80"/>
                <w:sz w:val="20"/>
                <w:szCs w:val="20"/>
                <w:lang w:eastAsia="de-DE"/>
              </w:rPr>
              <w:t>Politikwissenschaft III</w:t>
            </w:r>
          </w:p>
          <w:p w:rsidR="00EE7360" w:rsidRPr="005D191A" w:rsidRDefault="00EE7360" w:rsidP="00EE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808080" w:themeColor="background1" w:themeShade="80"/>
                <w:sz w:val="20"/>
                <w:szCs w:val="20"/>
                <w:lang w:eastAsia="de-DE"/>
              </w:rPr>
            </w:pPr>
            <w:r w:rsidRPr="005D191A">
              <w:rPr>
                <w:rFonts w:eastAsia="Times New Roman" w:cs="Arial"/>
                <w:color w:val="808080" w:themeColor="background1" w:themeShade="80"/>
                <w:sz w:val="20"/>
                <w:szCs w:val="20"/>
                <w:lang w:eastAsia="de-DE"/>
              </w:rPr>
              <w:t>Heinrich-Heine-Universität Düsseldorf</w:t>
            </w:r>
          </w:p>
          <w:p w:rsidR="00EE7360" w:rsidRPr="00C763BF" w:rsidRDefault="00EE7360" w:rsidP="00EE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808080" w:themeColor="background1" w:themeShade="80"/>
                <w:sz w:val="20"/>
                <w:szCs w:val="20"/>
                <w:lang w:eastAsia="de-DE"/>
              </w:rPr>
            </w:pPr>
            <w:r w:rsidRPr="005D191A">
              <w:rPr>
                <w:rFonts w:eastAsia="Times New Roman" w:cs="Arial"/>
                <w:color w:val="808080" w:themeColor="background1" w:themeShade="80"/>
                <w:sz w:val="20"/>
                <w:szCs w:val="20"/>
                <w:lang w:eastAsia="de-DE"/>
              </w:rPr>
              <w:t>Universitätsstr. 1, D-40225 Düsseldorf</w:t>
            </w:r>
          </w:p>
        </w:tc>
        <w:tc>
          <w:tcPr>
            <w:tcW w:w="4606" w:type="dxa"/>
          </w:tcPr>
          <w:p w:rsidR="00EE7360" w:rsidRPr="005D191A" w:rsidRDefault="00EE7360" w:rsidP="00EE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808080" w:themeColor="background1" w:themeShade="80"/>
                <w:sz w:val="20"/>
                <w:szCs w:val="20"/>
                <w:lang w:eastAsia="de-DE"/>
              </w:rPr>
            </w:pPr>
            <w:r w:rsidRPr="005D191A">
              <w:rPr>
                <w:rFonts w:eastAsia="Times New Roman" w:cs="Arial"/>
                <w:color w:val="808080" w:themeColor="background1" w:themeShade="80"/>
                <w:sz w:val="20"/>
                <w:szCs w:val="20"/>
                <w:lang w:eastAsia="de-DE"/>
              </w:rPr>
              <w:t>Gebäude 23.32.Raum U1.26</w:t>
            </w:r>
          </w:p>
          <w:p w:rsidR="00EE7360" w:rsidRPr="005D191A" w:rsidRDefault="00EE7360" w:rsidP="00EE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808080" w:themeColor="background1" w:themeShade="80"/>
                <w:sz w:val="20"/>
                <w:szCs w:val="20"/>
                <w:lang w:eastAsia="de-DE"/>
              </w:rPr>
            </w:pPr>
            <w:r w:rsidRPr="005D191A">
              <w:rPr>
                <w:rFonts w:eastAsia="Times New Roman" w:cs="Arial"/>
                <w:color w:val="808080" w:themeColor="background1" w:themeShade="80"/>
                <w:sz w:val="20"/>
                <w:szCs w:val="20"/>
                <w:lang w:eastAsia="de-DE"/>
              </w:rPr>
              <w:t>Telefon: 0211-81-15097, Fax: 0211-81-15648</w:t>
            </w:r>
          </w:p>
          <w:p w:rsidR="00EE7360" w:rsidRPr="0007736E" w:rsidRDefault="00EE7360" w:rsidP="00EE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808080" w:themeColor="background1" w:themeShade="80"/>
                <w:sz w:val="20"/>
                <w:szCs w:val="20"/>
                <w:lang w:val="en-US" w:eastAsia="de-DE"/>
              </w:rPr>
            </w:pPr>
            <w:r w:rsidRPr="0007736E">
              <w:rPr>
                <w:rFonts w:eastAsia="Times New Roman" w:cs="Arial"/>
                <w:color w:val="808080" w:themeColor="background1" w:themeShade="80"/>
                <w:sz w:val="20"/>
                <w:szCs w:val="20"/>
                <w:lang w:val="en-US" w:eastAsia="de-DE"/>
              </w:rPr>
              <w:t>Mail: fine@phil.uni-duesseldorf.de</w:t>
            </w:r>
          </w:p>
          <w:p w:rsidR="00EE7360" w:rsidRPr="00C763BF" w:rsidRDefault="00EE7360" w:rsidP="00EE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808080" w:themeColor="background1" w:themeShade="80"/>
                <w:sz w:val="20"/>
                <w:szCs w:val="20"/>
                <w:lang w:val="en-US" w:eastAsia="de-DE"/>
              </w:rPr>
            </w:pPr>
            <w:r w:rsidRPr="0007736E">
              <w:rPr>
                <w:rFonts w:eastAsia="Times New Roman" w:cs="Arial"/>
                <w:color w:val="808080" w:themeColor="background1" w:themeShade="80"/>
                <w:sz w:val="20"/>
                <w:szCs w:val="20"/>
                <w:lang w:val="en-US" w:eastAsia="de-DE"/>
              </w:rPr>
              <w:t>Homepage: www.fine.uni-duesseldorf.de</w:t>
            </w:r>
          </w:p>
        </w:tc>
      </w:tr>
    </w:tbl>
    <w:p w:rsidR="0023102C" w:rsidRPr="00C763BF" w:rsidRDefault="0023102C" w:rsidP="0052039D">
      <w:pPr>
        <w:jc w:val="both"/>
        <w:rPr>
          <w:lang w:val="en-US"/>
        </w:rPr>
      </w:pPr>
    </w:p>
    <w:sectPr w:rsidR="0023102C" w:rsidRPr="00C763BF" w:rsidSect="006439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E97" w:rsidRDefault="00785E97" w:rsidP="005D191A">
      <w:pPr>
        <w:spacing w:after="0" w:line="240" w:lineRule="auto"/>
      </w:pPr>
      <w:r>
        <w:separator/>
      </w:r>
    </w:p>
  </w:endnote>
  <w:endnote w:type="continuationSeparator" w:id="0">
    <w:p w:rsidR="00785E97" w:rsidRDefault="00785E97" w:rsidP="005D1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E97" w:rsidRDefault="00785E97" w:rsidP="005D191A">
      <w:pPr>
        <w:spacing w:after="0" w:line="240" w:lineRule="auto"/>
      </w:pPr>
      <w:r>
        <w:separator/>
      </w:r>
    </w:p>
  </w:footnote>
  <w:footnote w:type="continuationSeparator" w:id="0">
    <w:p w:rsidR="00785E97" w:rsidRDefault="00785E97" w:rsidP="005D1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14286"/>
    <w:multiLevelType w:val="hybridMultilevel"/>
    <w:tmpl w:val="C8C273FE"/>
    <w:lvl w:ilvl="0" w:tplc="CF02F6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E468E"/>
    <w:multiLevelType w:val="hybridMultilevel"/>
    <w:tmpl w:val="D1BEF6A0"/>
    <w:lvl w:ilvl="0" w:tplc="0994B09C">
      <w:start w:val="1"/>
      <w:numFmt w:val="decimalZero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9B26315"/>
    <w:multiLevelType w:val="hybridMultilevel"/>
    <w:tmpl w:val="F3882FE2"/>
    <w:lvl w:ilvl="0" w:tplc="28B4DCC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2C"/>
    <w:rsid w:val="000104E4"/>
    <w:rsid w:val="0006580C"/>
    <w:rsid w:val="0007736E"/>
    <w:rsid w:val="000F1392"/>
    <w:rsid w:val="000F511D"/>
    <w:rsid w:val="00157888"/>
    <w:rsid w:val="0023102C"/>
    <w:rsid w:val="002B3070"/>
    <w:rsid w:val="002B5361"/>
    <w:rsid w:val="002E09A0"/>
    <w:rsid w:val="003A00CE"/>
    <w:rsid w:val="004A2D2B"/>
    <w:rsid w:val="0052039D"/>
    <w:rsid w:val="00567AFC"/>
    <w:rsid w:val="0058581D"/>
    <w:rsid w:val="005A5648"/>
    <w:rsid w:val="005D191A"/>
    <w:rsid w:val="00616C0F"/>
    <w:rsid w:val="006439D3"/>
    <w:rsid w:val="006946F6"/>
    <w:rsid w:val="006E54F5"/>
    <w:rsid w:val="00785E97"/>
    <w:rsid w:val="00801606"/>
    <w:rsid w:val="008E7847"/>
    <w:rsid w:val="00954146"/>
    <w:rsid w:val="00976033"/>
    <w:rsid w:val="009B63D3"/>
    <w:rsid w:val="00A555EA"/>
    <w:rsid w:val="00A90FFB"/>
    <w:rsid w:val="00AB6CE7"/>
    <w:rsid w:val="00AF3A6A"/>
    <w:rsid w:val="00B529BE"/>
    <w:rsid w:val="00C763BF"/>
    <w:rsid w:val="00D1333A"/>
    <w:rsid w:val="00DD55CA"/>
    <w:rsid w:val="00E01CD4"/>
    <w:rsid w:val="00ED2325"/>
    <w:rsid w:val="00EE7360"/>
    <w:rsid w:val="00F939BE"/>
    <w:rsid w:val="00FB7D98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C6105E-B9F2-4E0C-91AC-8332113B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39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3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231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10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3102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5D1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D191A"/>
  </w:style>
  <w:style w:type="paragraph" w:styleId="Fuzeile">
    <w:name w:val="footer"/>
    <w:basedOn w:val="Standard"/>
    <w:link w:val="FuzeileZchn"/>
    <w:uiPriority w:val="99"/>
    <w:semiHidden/>
    <w:unhideWhenUsed/>
    <w:rsid w:val="005D1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D191A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D19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D191A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C763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2D4D4-5DB6-43E6-B838-5DD9145A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Phil-Fak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politik3</dc:creator>
  <cp:lastModifiedBy>Windows-Benutzer</cp:lastModifiedBy>
  <cp:revision>2</cp:revision>
  <dcterms:created xsi:type="dcterms:W3CDTF">2017-04-10T14:21:00Z</dcterms:created>
  <dcterms:modified xsi:type="dcterms:W3CDTF">2017-04-10T14:21:00Z</dcterms:modified>
</cp:coreProperties>
</file>